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C449B6" w14:textId="77777777" w:rsidR="00047D63" w:rsidRPr="00595047" w:rsidRDefault="00047D63" w:rsidP="00047D63">
      <w:pPr>
        <w:bidi/>
        <w:rPr>
          <w:b/>
          <w:bCs/>
        </w:rPr>
      </w:pPr>
      <w:r w:rsidRPr="00595047">
        <w:rPr>
          <w:b/>
          <w:bCs/>
          <w:rtl/>
          <w:lang w:eastAsia="ar"/>
        </w:rPr>
        <w:t xml:space="preserve">الأنظمة الميكانيكية </w:t>
      </w:r>
    </w:p>
    <w:p w14:paraId="524CA721" w14:textId="77777777" w:rsidR="00047D63" w:rsidRPr="00C423D5" w:rsidRDefault="00047D63" w:rsidP="00047D63">
      <w:pPr>
        <w:bidi/>
        <w:ind w:left="720"/>
      </w:pPr>
    </w:p>
    <w:tbl>
      <w:tblPr>
        <w:bidiVisual/>
        <w:tblW w:w="10260"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0"/>
        <w:gridCol w:w="4072"/>
        <w:gridCol w:w="1980"/>
        <w:gridCol w:w="1694"/>
        <w:gridCol w:w="508"/>
        <w:gridCol w:w="26"/>
        <w:gridCol w:w="482"/>
        <w:gridCol w:w="508"/>
      </w:tblGrid>
      <w:tr w:rsidR="00047D63" w:rsidRPr="00C423D5" w14:paraId="789DF36A" w14:textId="77777777" w:rsidTr="00C14BAD">
        <w:trPr>
          <w:trHeight w:val="105"/>
          <w:tblHeader/>
        </w:trPr>
        <w:tc>
          <w:tcPr>
            <w:tcW w:w="7042" w:type="dxa"/>
            <w:gridSpan w:val="3"/>
            <w:tcBorders>
              <w:top w:val="single" w:sz="4" w:space="0" w:color="auto"/>
              <w:left w:val="single" w:sz="4" w:space="0" w:color="auto"/>
              <w:bottom w:val="single" w:sz="4" w:space="0" w:color="auto"/>
            </w:tcBorders>
            <w:shd w:val="clear" w:color="auto" w:fill="auto"/>
            <w:noWrap/>
            <w:vAlign w:val="center"/>
          </w:tcPr>
          <w:p w14:paraId="61B478EC" w14:textId="1FDF2692" w:rsidR="00047D63" w:rsidRPr="00595047" w:rsidRDefault="00047D63" w:rsidP="00C14BAD">
            <w:pPr>
              <w:tabs>
                <w:tab w:val="left" w:pos="1536"/>
              </w:tabs>
              <w:bidi/>
              <w:rPr>
                <w:rFonts w:cs="Arial"/>
                <w:b/>
                <w:color w:val="000000"/>
                <w:sz w:val="18"/>
                <w:szCs w:val="18"/>
              </w:rPr>
            </w:pPr>
            <w:r w:rsidRPr="009B5826">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638FF111"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241FF244"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 xml:space="preserve">النسخة - 000 </w:t>
            </w:r>
          </w:p>
        </w:tc>
      </w:tr>
      <w:tr w:rsidR="00047D63" w:rsidRPr="00C423D5" w14:paraId="1066AC8A" w14:textId="77777777" w:rsidTr="00C14BAD">
        <w:trPr>
          <w:trHeight w:val="307"/>
        </w:trPr>
        <w:tc>
          <w:tcPr>
            <w:tcW w:w="99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5E902C1B" w14:textId="77777777" w:rsidR="00047D63" w:rsidRPr="00595047" w:rsidRDefault="00047D63" w:rsidP="00C14BAD">
            <w:pPr>
              <w:bidi/>
              <w:jc w:val="center"/>
              <w:rPr>
                <w:b/>
              </w:rPr>
            </w:pPr>
            <w:r w:rsidRPr="00595047">
              <w:rPr>
                <w:b/>
                <w:bCs/>
                <w:rtl/>
                <w:lang w:eastAsia="ar"/>
              </w:rPr>
              <w:t>الرقم</w:t>
            </w:r>
          </w:p>
        </w:tc>
        <w:tc>
          <w:tcPr>
            <w:tcW w:w="7746" w:type="dxa"/>
            <w:gridSpan w:val="3"/>
            <w:vMerge w:val="restart"/>
            <w:tcBorders>
              <w:top w:val="single" w:sz="4" w:space="0" w:color="auto"/>
              <w:bottom w:val="single" w:sz="4" w:space="0" w:color="auto"/>
            </w:tcBorders>
            <w:shd w:val="clear" w:color="auto" w:fill="C6D9F1" w:themeFill="text2" w:themeFillTint="33"/>
            <w:vAlign w:val="center"/>
          </w:tcPr>
          <w:p w14:paraId="5BF8F8B9" w14:textId="77777777" w:rsidR="00047D63" w:rsidRPr="00595047" w:rsidRDefault="00047D63" w:rsidP="00C14BAD">
            <w:pPr>
              <w:bidi/>
              <w:jc w:val="center"/>
              <w:rPr>
                <w:b/>
                <w:color w:val="000000"/>
              </w:rPr>
            </w:pPr>
            <w:r w:rsidRPr="00595047">
              <w:rPr>
                <w:b/>
                <w:bCs/>
                <w:rtl/>
                <w:lang w:eastAsia="ar"/>
              </w:rPr>
              <w:t>قائمة التدقيق الخاصة بفحص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AC724" w14:textId="65966CFE" w:rsidR="00047D63" w:rsidRPr="00C423D5" w:rsidRDefault="001501BB" w:rsidP="00C14BA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047D63" w:rsidRPr="00C423D5" w14:paraId="68D57A88" w14:textId="77777777" w:rsidTr="00C14BAD">
        <w:trPr>
          <w:trHeight w:val="201"/>
          <w:tblHeader/>
        </w:trPr>
        <w:tc>
          <w:tcPr>
            <w:tcW w:w="99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4DF5D25E" w14:textId="77777777" w:rsidR="00047D63" w:rsidRPr="00595047" w:rsidRDefault="00047D63" w:rsidP="00C14BAD">
            <w:pPr>
              <w:bidi/>
              <w:rPr>
                <w:rFonts w:cs="Arial"/>
                <w:b/>
                <w:bCs/>
                <w:color w:val="FFFFFF"/>
              </w:rPr>
            </w:pPr>
          </w:p>
        </w:tc>
        <w:tc>
          <w:tcPr>
            <w:tcW w:w="7746" w:type="dxa"/>
            <w:gridSpan w:val="3"/>
            <w:vMerge/>
            <w:tcBorders>
              <w:top w:val="single" w:sz="4" w:space="0" w:color="auto"/>
              <w:bottom w:val="single" w:sz="4" w:space="0" w:color="auto"/>
            </w:tcBorders>
            <w:shd w:val="clear" w:color="auto" w:fill="C6D9F1" w:themeFill="text2" w:themeFillTint="33"/>
            <w:vAlign w:val="center"/>
            <w:hideMark/>
          </w:tcPr>
          <w:p w14:paraId="6A944EBE" w14:textId="77777777" w:rsidR="00047D63" w:rsidRPr="00595047" w:rsidRDefault="00047D63" w:rsidP="00C14BA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69DACC2"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9F9713B"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79CDB5"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w:t>
            </w:r>
          </w:p>
        </w:tc>
      </w:tr>
      <w:tr w:rsidR="00047D63" w:rsidRPr="00C423D5" w14:paraId="3DBCA35F" w14:textId="77777777" w:rsidTr="00C14BAD">
        <w:trPr>
          <w:trHeight w:val="380"/>
        </w:trPr>
        <w:tc>
          <w:tcPr>
            <w:tcW w:w="990" w:type="dxa"/>
            <w:tcBorders>
              <w:top w:val="single" w:sz="4" w:space="0" w:color="auto"/>
              <w:left w:val="single" w:sz="4" w:space="0" w:color="auto"/>
              <w:bottom w:val="single" w:sz="4" w:space="0" w:color="auto"/>
            </w:tcBorders>
            <w:shd w:val="clear" w:color="auto" w:fill="auto"/>
            <w:noWrap/>
            <w:vAlign w:val="center"/>
          </w:tcPr>
          <w:p w14:paraId="60CAB541" w14:textId="77777777" w:rsidR="00047D63" w:rsidRPr="00595047" w:rsidRDefault="00047D63" w:rsidP="00C14BAD">
            <w:pPr>
              <w:bidi/>
            </w:pPr>
          </w:p>
        </w:tc>
        <w:tc>
          <w:tcPr>
            <w:tcW w:w="7746" w:type="dxa"/>
            <w:gridSpan w:val="3"/>
            <w:tcBorders>
              <w:top w:val="single" w:sz="4" w:space="0" w:color="auto"/>
              <w:bottom w:val="single" w:sz="4" w:space="0" w:color="auto"/>
            </w:tcBorders>
            <w:shd w:val="clear" w:color="auto" w:fill="auto"/>
            <w:vAlign w:val="center"/>
          </w:tcPr>
          <w:p w14:paraId="5B98767F" w14:textId="77777777" w:rsidR="00047D63" w:rsidRPr="00595047" w:rsidRDefault="00047D63" w:rsidP="00C14BAD">
            <w:pPr>
              <w:bidi/>
              <w:jc w:val="left"/>
              <w:rPr>
                <w:b/>
                <w:bCs/>
              </w:rPr>
            </w:pPr>
            <w:r w:rsidRPr="00595047">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0306D7F5"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897821C"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67372E" w14:textId="77777777" w:rsidR="00047D63" w:rsidRPr="00C423D5" w:rsidRDefault="00047D63" w:rsidP="00C14BAD">
            <w:pPr>
              <w:bidi/>
              <w:ind w:left="-102" w:right="-73"/>
              <w:jc w:val="center"/>
              <w:rPr>
                <w:rFonts w:cs="Arial"/>
                <w:color w:val="000000"/>
              </w:rPr>
            </w:pPr>
          </w:p>
        </w:tc>
      </w:tr>
      <w:tr w:rsidR="00047D63" w:rsidRPr="00C423D5" w14:paraId="7C468971"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hideMark/>
          </w:tcPr>
          <w:p w14:paraId="08D44E2E" w14:textId="77777777" w:rsidR="00047D63" w:rsidRPr="00C423D5" w:rsidRDefault="00047D63" w:rsidP="00C14BAD">
            <w:pPr>
              <w:bidi/>
              <w:spacing w:before="40" w:after="40"/>
              <w:jc w:val="left"/>
              <w:rPr>
                <w:rFonts w:cs="Arial"/>
                <w:sz w:val="18"/>
                <w:szCs w:val="18"/>
              </w:rPr>
            </w:pPr>
          </w:p>
        </w:tc>
        <w:tc>
          <w:tcPr>
            <w:tcW w:w="7746" w:type="dxa"/>
            <w:gridSpan w:val="3"/>
            <w:tcBorders>
              <w:top w:val="single" w:sz="4" w:space="0" w:color="auto"/>
              <w:bottom w:val="single" w:sz="4" w:space="0" w:color="auto"/>
            </w:tcBorders>
            <w:shd w:val="clear" w:color="auto" w:fill="auto"/>
            <w:vAlign w:val="center"/>
          </w:tcPr>
          <w:p w14:paraId="53C7E5F2" w14:textId="55C8F759" w:rsidR="00047D63" w:rsidRPr="00CA0A97" w:rsidRDefault="00047D63" w:rsidP="009E3019">
            <w:pPr>
              <w:bidi/>
              <w:spacing w:before="40" w:after="40"/>
              <w:rPr>
                <w:rFonts w:cs="Arial"/>
                <w:sz w:val="18"/>
                <w:szCs w:val="24"/>
                <w:lang w:val="x-none"/>
              </w:rPr>
            </w:pPr>
            <w:r w:rsidRPr="00CA0A97">
              <w:rPr>
                <w:rFonts w:cs="Arial"/>
                <w:sz w:val="18"/>
                <w:szCs w:val="18"/>
                <w:rtl/>
                <w:lang w:eastAsia="ar"/>
              </w:rPr>
              <w:t>تهدف إجراءات الطوارئ إلى تسليط الضوء على أبرز المشاكل التي قد تنشأ على مستوى الإدارة في حال تعطل الأنظمة الميكانيكية. ومن المقدّر أنّ هذه الأعطال قد تكون ناجمةً عن تعطل نظام الموقع بالكامل، لكنها قد تكون ناجمةً أيضًا عن عطلٍ محلي والذي قد يتطلب من الجهة العامة تقديم إشعار بشأنه. ويتمثل الهدف الرئيسي من هذه الإجراءات في تقديم نهج منظَّم للحفاظ على سلامة الموظفين ولتقليل المخاطر المرتبطة بالأعطال التي تصيب الأنظمة الميكانيكية.</w:t>
            </w:r>
          </w:p>
        </w:tc>
        <w:tc>
          <w:tcPr>
            <w:tcW w:w="508" w:type="dxa"/>
            <w:tcBorders>
              <w:top w:val="single" w:sz="4" w:space="0" w:color="auto"/>
              <w:bottom w:val="single" w:sz="4" w:space="0" w:color="auto"/>
            </w:tcBorders>
            <w:shd w:val="clear" w:color="auto" w:fill="C6D9F1" w:themeFill="text2" w:themeFillTint="33"/>
            <w:vAlign w:val="center"/>
          </w:tcPr>
          <w:p w14:paraId="36CD4756"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C368096"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FEC3C" w14:textId="77777777" w:rsidR="00047D63" w:rsidRPr="00C423D5" w:rsidRDefault="00047D63" w:rsidP="00C14BAD">
            <w:pPr>
              <w:bidi/>
              <w:ind w:left="-102" w:right="-73"/>
              <w:jc w:val="center"/>
              <w:rPr>
                <w:rFonts w:cs="Arial"/>
                <w:color w:val="000000"/>
              </w:rPr>
            </w:pPr>
          </w:p>
        </w:tc>
      </w:tr>
      <w:tr w:rsidR="00047D63" w:rsidRPr="00C423D5" w14:paraId="68995CC4"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3913B77A"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الأولى</w:t>
            </w:r>
          </w:p>
        </w:tc>
        <w:tc>
          <w:tcPr>
            <w:tcW w:w="7746" w:type="dxa"/>
            <w:gridSpan w:val="3"/>
            <w:tcBorders>
              <w:top w:val="single" w:sz="4" w:space="0" w:color="auto"/>
              <w:bottom w:val="single" w:sz="4" w:space="0" w:color="auto"/>
            </w:tcBorders>
            <w:shd w:val="clear" w:color="auto" w:fill="auto"/>
            <w:vAlign w:val="center"/>
          </w:tcPr>
          <w:p w14:paraId="44728DE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79B999F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053D55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2D6C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68506B5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E88A8F0"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الثانية</w:t>
            </w:r>
          </w:p>
        </w:tc>
        <w:tc>
          <w:tcPr>
            <w:tcW w:w="7746" w:type="dxa"/>
            <w:gridSpan w:val="3"/>
            <w:tcBorders>
              <w:top w:val="single" w:sz="4" w:space="0" w:color="auto"/>
              <w:bottom w:val="single" w:sz="4" w:space="0" w:color="auto"/>
            </w:tcBorders>
            <w:shd w:val="clear" w:color="auto" w:fill="auto"/>
            <w:vAlign w:val="center"/>
          </w:tcPr>
          <w:p w14:paraId="3BC5E1F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3179C3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5A57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D638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43D1537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0321E59"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الثالثة</w:t>
            </w:r>
          </w:p>
        </w:tc>
        <w:tc>
          <w:tcPr>
            <w:tcW w:w="7746" w:type="dxa"/>
            <w:gridSpan w:val="3"/>
            <w:tcBorders>
              <w:top w:val="single" w:sz="4" w:space="0" w:color="auto"/>
              <w:bottom w:val="single" w:sz="4" w:space="0" w:color="auto"/>
            </w:tcBorders>
            <w:shd w:val="clear" w:color="auto" w:fill="auto"/>
            <w:vAlign w:val="center"/>
          </w:tcPr>
          <w:p w14:paraId="4DC33C4F"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التخفيف من الضرر المحتمل</w:t>
            </w:r>
          </w:p>
        </w:tc>
        <w:tc>
          <w:tcPr>
            <w:tcW w:w="508" w:type="dxa"/>
            <w:tcBorders>
              <w:top w:val="single" w:sz="4" w:space="0" w:color="auto"/>
              <w:bottom w:val="single" w:sz="4" w:space="0" w:color="auto"/>
            </w:tcBorders>
            <w:shd w:val="clear" w:color="auto" w:fill="C6D9F1" w:themeFill="text2" w:themeFillTint="33"/>
            <w:vAlign w:val="center"/>
          </w:tcPr>
          <w:p w14:paraId="55ED85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33FB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94E81AB"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7EEB1F0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07AD31E"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الرابعة</w:t>
            </w:r>
          </w:p>
        </w:tc>
        <w:tc>
          <w:tcPr>
            <w:tcW w:w="7746" w:type="dxa"/>
            <w:gridSpan w:val="3"/>
            <w:tcBorders>
              <w:top w:val="single" w:sz="4" w:space="0" w:color="auto"/>
              <w:bottom w:val="single" w:sz="4" w:space="0" w:color="auto"/>
            </w:tcBorders>
            <w:shd w:val="clear" w:color="auto" w:fill="auto"/>
            <w:vAlign w:val="center"/>
          </w:tcPr>
          <w:p w14:paraId="1302012A" w14:textId="0BF1AF73"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تطويق الحوادث (مثال: تسرب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4EF364E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71BD3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873D62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70DE08D7"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D117A34"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الخامسة</w:t>
            </w:r>
          </w:p>
        </w:tc>
        <w:tc>
          <w:tcPr>
            <w:tcW w:w="7746" w:type="dxa"/>
            <w:gridSpan w:val="3"/>
            <w:tcBorders>
              <w:top w:val="single" w:sz="4" w:space="0" w:color="auto"/>
              <w:bottom w:val="single" w:sz="4" w:space="0" w:color="auto"/>
            </w:tcBorders>
            <w:shd w:val="clear" w:color="auto" w:fill="auto"/>
            <w:vAlign w:val="center"/>
          </w:tcPr>
          <w:p w14:paraId="4289D4B6"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تقييم الضرر </w:t>
            </w:r>
          </w:p>
        </w:tc>
        <w:tc>
          <w:tcPr>
            <w:tcW w:w="508" w:type="dxa"/>
            <w:tcBorders>
              <w:top w:val="single" w:sz="4" w:space="0" w:color="auto"/>
              <w:bottom w:val="single" w:sz="4" w:space="0" w:color="auto"/>
            </w:tcBorders>
            <w:shd w:val="clear" w:color="auto" w:fill="C6D9F1" w:themeFill="text2" w:themeFillTint="33"/>
            <w:vAlign w:val="center"/>
          </w:tcPr>
          <w:p w14:paraId="3CB2305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F48A5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6BE93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436525BF"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1060C9B"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السادسة</w:t>
            </w:r>
          </w:p>
        </w:tc>
        <w:tc>
          <w:tcPr>
            <w:tcW w:w="7746" w:type="dxa"/>
            <w:gridSpan w:val="3"/>
            <w:tcBorders>
              <w:top w:val="single" w:sz="4" w:space="0" w:color="auto"/>
              <w:bottom w:val="single" w:sz="4" w:space="0" w:color="auto"/>
            </w:tcBorders>
            <w:shd w:val="clear" w:color="auto" w:fill="auto"/>
            <w:vAlign w:val="center"/>
          </w:tcPr>
          <w:p w14:paraId="301E4A63"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أعمال التنظيف بعد وقوع الحادث (خطط ما بعد الحوادث)</w:t>
            </w:r>
          </w:p>
        </w:tc>
        <w:tc>
          <w:tcPr>
            <w:tcW w:w="508" w:type="dxa"/>
            <w:tcBorders>
              <w:top w:val="single" w:sz="4" w:space="0" w:color="auto"/>
              <w:bottom w:val="single" w:sz="4" w:space="0" w:color="auto"/>
            </w:tcBorders>
            <w:shd w:val="clear" w:color="auto" w:fill="C6D9F1" w:themeFill="text2" w:themeFillTint="33"/>
            <w:vAlign w:val="center"/>
          </w:tcPr>
          <w:p w14:paraId="151874A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402F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77362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110C215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A65F757"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السابعة</w:t>
            </w:r>
          </w:p>
        </w:tc>
        <w:tc>
          <w:tcPr>
            <w:tcW w:w="7746" w:type="dxa"/>
            <w:gridSpan w:val="3"/>
            <w:shd w:val="clear" w:color="auto" w:fill="auto"/>
          </w:tcPr>
          <w:p w14:paraId="54CE8E1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متابعة مصادر الأحوال الجوية للحصول على المستجدات المتعلقة بالتعليمات والتحذيرات المذاعة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32EA94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20F2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F917A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7A36C31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9677152"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الثامنة</w:t>
            </w:r>
          </w:p>
        </w:tc>
        <w:tc>
          <w:tcPr>
            <w:tcW w:w="7746" w:type="dxa"/>
            <w:gridSpan w:val="3"/>
            <w:shd w:val="clear" w:color="auto" w:fill="auto"/>
          </w:tcPr>
          <w:p w14:paraId="30730AE7"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خطة إغلاق المبنى/خطة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4876134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CE545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86389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0E08D9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1E62976"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w:t>
            </w:r>
          </w:p>
        </w:tc>
        <w:tc>
          <w:tcPr>
            <w:tcW w:w="7746" w:type="dxa"/>
            <w:gridSpan w:val="3"/>
            <w:tcBorders>
              <w:top w:val="single" w:sz="4" w:space="0" w:color="auto"/>
              <w:bottom w:val="single" w:sz="4" w:space="0" w:color="auto"/>
            </w:tcBorders>
            <w:shd w:val="clear" w:color="auto" w:fill="auto"/>
            <w:vAlign w:val="center"/>
          </w:tcPr>
          <w:p w14:paraId="15D15608"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إجراء تقييم أولي ومستمر للحادث</w:t>
            </w:r>
          </w:p>
        </w:tc>
        <w:tc>
          <w:tcPr>
            <w:tcW w:w="508" w:type="dxa"/>
            <w:tcBorders>
              <w:top w:val="single" w:sz="4" w:space="0" w:color="auto"/>
              <w:bottom w:val="single" w:sz="4" w:space="0" w:color="auto"/>
            </w:tcBorders>
            <w:shd w:val="clear" w:color="auto" w:fill="C6D9F1" w:themeFill="text2" w:themeFillTint="33"/>
            <w:vAlign w:val="center"/>
          </w:tcPr>
          <w:p w14:paraId="1ADE334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629B8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F5C8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3DC51B0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49ADB2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2</w:t>
            </w:r>
          </w:p>
        </w:tc>
        <w:tc>
          <w:tcPr>
            <w:tcW w:w="7746" w:type="dxa"/>
            <w:gridSpan w:val="3"/>
            <w:tcBorders>
              <w:top w:val="single" w:sz="4" w:space="0" w:color="auto"/>
              <w:bottom w:val="single" w:sz="4" w:space="0" w:color="auto"/>
            </w:tcBorders>
            <w:shd w:val="clear" w:color="auto" w:fill="auto"/>
            <w:vAlign w:val="center"/>
          </w:tcPr>
          <w:p w14:paraId="43D59E1D"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751F948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92D32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BAF7E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7B706BF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DA9D72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3</w:t>
            </w:r>
          </w:p>
        </w:tc>
        <w:tc>
          <w:tcPr>
            <w:tcW w:w="7746" w:type="dxa"/>
            <w:gridSpan w:val="3"/>
            <w:tcBorders>
              <w:top w:val="single" w:sz="4" w:space="0" w:color="auto"/>
              <w:bottom w:val="single" w:sz="4" w:space="0" w:color="auto"/>
            </w:tcBorders>
            <w:shd w:val="clear" w:color="auto" w:fill="auto"/>
            <w:vAlign w:val="center"/>
          </w:tcPr>
          <w:p w14:paraId="07AF81D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توزيع الموارد المتاحة وطلب موارد إضافية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7315791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D41D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6D916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21E6448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2EAE8A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4</w:t>
            </w:r>
          </w:p>
        </w:tc>
        <w:tc>
          <w:tcPr>
            <w:tcW w:w="7746" w:type="dxa"/>
            <w:gridSpan w:val="3"/>
            <w:tcBorders>
              <w:top w:val="single" w:sz="4" w:space="0" w:color="auto"/>
              <w:bottom w:val="single" w:sz="4" w:space="0" w:color="auto"/>
            </w:tcBorders>
            <w:shd w:val="clear" w:color="auto" w:fill="auto"/>
            <w:vAlign w:val="center"/>
          </w:tcPr>
          <w:p w14:paraId="28EB32BE"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هيكل تنظيمي خاص لإدارة الحادث</w:t>
            </w:r>
          </w:p>
        </w:tc>
        <w:tc>
          <w:tcPr>
            <w:tcW w:w="508" w:type="dxa"/>
            <w:tcBorders>
              <w:top w:val="single" w:sz="4" w:space="0" w:color="auto"/>
              <w:bottom w:val="single" w:sz="4" w:space="0" w:color="auto"/>
            </w:tcBorders>
            <w:shd w:val="clear" w:color="auto" w:fill="C6D9F1" w:themeFill="text2" w:themeFillTint="33"/>
            <w:vAlign w:val="center"/>
          </w:tcPr>
          <w:p w14:paraId="62067D1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F99B9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1FD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0941C9E3"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9DFB03C"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5</w:t>
            </w:r>
          </w:p>
        </w:tc>
        <w:tc>
          <w:tcPr>
            <w:tcW w:w="7746" w:type="dxa"/>
            <w:gridSpan w:val="3"/>
            <w:tcBorders>
              <w:top w:val="single" w:sz="4" w:space="0" w:color="auto"/>
              <w:bottom w:val="single" w:sz="4" w:space="0" w:color="auto"/>
            </w:tcBorders>
            <w:shd w:val="clear" w:color="auto" w:fill="auto"/>
            <w:vAlign w:val="center"/>
          </w:tcPr>
          <w:p w14:paraId="3578A253"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مراجعة وتقييم وتعديل الاستراتيجيات والأساليب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6FF80A4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AFA54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6574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2875DAB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EABD6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6</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7709171"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على الشخص المسؤول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74886AB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7330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22CF4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46ACEF1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C5459C0"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B03E839"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يجب أن يتضمن النظام عملية تصعيد روتينية في حال استخدام موارد إضافية</w:t>
            </w:r>
          </w:p>
        </w:tc>
        <w:tc>
          <w:tcPr>
            <w:tcW w:w="508" w:type="dxa"/>
            <w:tcBorders>
              <w:top w:val="single" w:sz="4" w:space="0" w:color="auto"/>
              <w:bottom w:val="single" w:sz="4" w:space="0" w:color="auto"/>
            </w:tcBorders>
            <w:shd w:val="clear" w:color="auto" w:fill="C6D9F1" w:themeFill="text2" w:themeFillTint="33"/>
            <w:vAlign w:val="center"/>
          </w:tcPr>
          <w:p w14:paraId="3FF0CB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C9D27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9C491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58FD93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35D293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803C181" w14:textId="74E731FC"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تحديد مستويات وعناصر نظام إدارة الح</w:t>
            </w:r>
            <w:r w:rsidR="005507AD">
              <w:rPr>
                <w:rFonts w:cs="Arial" w:hint="cs"/>
                <w:sz w:val="18"/>
                <w:szCs w:val="18"/>
                <w:rtl/>
                <w:lang w:eastAsia="ar"/>
              </w:rPr>
              <w:t>و</w:t>
            </w:r>
            <w:r w:rsidRPr="00CA0A97">
              <w:rPr>
                <w:rFonts w:cs="Arial"/>
                <w:sz w:val="18"/>
                <w:szCs w:val="18"/>
                <w:rtl/>
                <w:lang w:eastAsia="ar"/>
              </w:rPr>
              <w:t>ادث التي سيتم اعتمادها في كل حالة، كما يتولى مسؤولية إعداد هيكل قيادة لكل حادث من خلال إسناد المسؤوليات الإشرافية وفقًا لإجراءات التشغيل الموحدة</w:t>
            </w:r>
          </w:p>
        </w:tc>
        <w:tc>
          <w:tcPr>
            <w:tcW w:w="508" w:type="dxa"/>
            <w:tcBorders>
              <w:top w:val="single" w:sz="4" w:space="0" w:color="auto"/>
              <w:bottom w:val="single" w:sz="4" w:space="0" w:color="auto"/>
            </w:tcBorders>
            <w:shd w:val="clear" w:color="auto" w:fill="C6D9F1" w:themeFill="text2" w:themeFillTint="33"/>
            <w:vAlign w:val="center"/>
          </w:tcPr>
          <w:p w14:paraId="2323627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85E2C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E589FF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6A5265F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31A48D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7268AE33"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تحدد خطة إدارة الحوادث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34EFDBC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0CF47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05030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18128EA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61F35B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10</w:t>
            </w:r>
          </w:p>
        </w:tc>
        <w:tc>
          <w:tcPr>
            <w:tcW w:w="7746" w:type="dxa"/>
            <w:gridSpan w:val="3"/>
            <w:tcBorders>
              <w:top w:val="single" w:sz="4" w:space="0" w:color="auto"/>
              <w:bottom w:val="single" w:sz="4" w:space="0" w:color="auto"/>
            </w:tcBorders>
            <w:shd w:val="clear" w:color="auto" w:fill="auto"/>
            <w:vAlign w:val="center"/>
          </w:tcPr>
          <w:p w14:paraId="265D4830"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التحكم في الاتصالات المتعلقة بالأساليب والقيادة وقنوات المرور الطارئة المخصصة للحادث</w:t>
            </w:r>
          </w:p>
        </w:tc>
        <w:tc>
          <w:tcPr>
            <w:tcW w:w="508" w:type="dxa"/>
            <w:tcBorders>
              <w:top w:val="single" w:sz="4" w:space="0" w:color="auto"/>
              <w:bottom w:val="single" w:sz="4" w:space="0" w:color="auto"/>
            </w:tcBorders>
            <w:shd w:val="clear" w:color="auto" w:fill="C6D9F1" w:themeFill="text2" w:themeFillTint="33"/>
            <w:vAlign w:val="center"/>
          </w:tcPr>
          <w:p w14:paraId="63A719A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FE8B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DEC40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2DDE5B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AF70478"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11</w:t>
            </w:r>
          </w:p>
        </w:tc>
        <w:tc>
          <w:tcPr>
            <w:tcW w:w="7746" w:type="dxa"/>
            <w:gridSpan w:val="3"/>
            <w:tcBorders>
              <w:top w:val="single" w:sz="4" w:space="0" w:color="auto"/>
              <w:bottom w:val="single" w:sz="4" w:space="0" w:color="auto"/>
            </w:tcBorders>
            <w:shd w:val="clear" w:color="auto" w:fill="auto"/>
            <w:vAlign w:val="center"/>
          </w:tcPr>
          <w:p w14:paraId="11732FB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المساءلة الشاملة للاستجابة لوقوع الحادث</w:t>
            </w:r>
          </w:p>
        </w:tc>
        <w:tc>
          <w:tcPr>
            <w:tcW w:w="508" w:type="dxa"/>
            <w:tcBorders>
              <w:top w:val="single" w:sz="4" w:space="0" w:color="auto"/>
              <w:bottom w:val="single" w:sz="4" w:space="0" w:color="auto"/>
            </w:tcBorders>
            <w:shd w:val="clear" w:color="auto" w:fill="C6D9F1" w:themeFill="text2" w:themeFillTint="33"/>
            <w:vAlign w:val="center"/>
          </w:tcPr>
          <w:p w14:paraId="0AFB05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09478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9ED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60BC8542"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672CFD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12</w:t>
            </w:r>
          </w:p>
        </w:tc>
        <w:tc>
          <w:tcPr>
            <w:tcW w:w="7746" w:type="dxa"/>
            <w:gridSpan w:val="3"/>
            <w:tcBorders>
              <w:top w:val="single" w:sz="4" w:space="0" w:color="auto"/>
              <w:bottom w:val="single" w:sz="4" w:space="0" w:color="auto"/>
            </w:tcBorders>
            <w:shd w:val="clear" w:color="auto" w:fill="auto"/>
            <w:vAlign w:val="center"/>
          </w:tcPr>
          <w:p w14:paraId="3D9CEF1B"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وضع و/أو الموافقة على خطة عمل التعامل مع الحوادث</w:t>
            </w:r>
          </w:p>
        </w:tc>
        <w:tc>
          <w:tcPr>
            <w:tcW w:w="508" w:type="dxa"/>
            <w:tcBorders>
              <w:top w:val="single" w:sz="4" w:space="0" w:color="auto"/>
              <w:bottom w:val="single" w:sz="4" w:space="0" w:color="auto"/>
            </w:tcBorders>
            <w:shd w:val="clear" w:color="auto" w:fill="C6D9F1" w:themeFill="text2" w:themeFillTint="33"/>
            <w:vAlign w:val="center"/>
          </w:tcPr>
          <w:p w14:paraId="488DC3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A0B69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8920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120166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511513"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13</w:t>
            </w:r>
          </w:p>
        </w:tc>
        <w:tc>
          <w:tcPr>
            <w:tcW w:w="7746" w:type="dxa"/>
            <w:gridSpan w:val="3"/>
            <w:tcBorders>
              <w:top w:val="single" w:sz="4" w:space="0" w:color="auto"/>
              <w:bottom w:val="single" w:sz="4" w:space="0" w:color="auto"/>
            </w:tcBorders>
            <w:shd w:val="clear" w:color="auto" w:fill="auto"/>
            <w:vAlign w:val="center"/>
          </w:tcPr>
          <w:p w14:paraId="30A23ED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إبقاء مسؤول السلامة على اطّلاع بالخطط الاستراتيجية والتكتيكية وأي تغيير في الظروف القائمة</w:t>
            </w:r>
          </w:p>
        </w:tc>
        <w:tc>
          <w:tcPr>
            <w:tcW w:w="508" w:type="dxa"/>
            <w:tcBorders>
              <w:top w:val="single" w:sz="4" w:space="0" w:color="auto"/>
              <w:bottom w:val="single" w:sz="4" w:space="0" w:color="auto"/>
            </w:tcBorders>
            <w:shd w:val="clear" w:color="auto" w:fill="C6D9F1" w:themeFill="text2" w:themeFillTint="33"/>
            <w:vAlign w:val="center"/>
          </w:tcPr>
          <w:p w14:paraId="5B5175C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202B8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3E5B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368EFD0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AD4190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14</w:t>
            </w:r>
          </w:p>
        </w:tc>
        <w:tc>
          <w:tcPr>
            <w:tcW w:w="7746" w:type="dxa"/>
            <w:gridSpan w:val="3"/>
            <w:tcBorders>
              <w:top w:val="single" w:sz="4" w:space="0" w:color="auto"/>
              <w:bottom w:val="single" w:sz="4" w:space="0" w:color="auto"/>
            </w:tcBorders>
            <w:shd w:val="clear" w:color="auto" w:fill="auto"/>
            <w:vAlign w:val="center"/>
          </w:tcPr>
          <w:p w14:paraId="15D02AB6" w14:textId="0D39EAD5" w:rsidR="00047D63" w:rsidRPr="00C423D5" w:rsidRDefault="00047D63" w:rsidP="005507AD">
            <w:pPr>
              <w:bidi/>
              <w:spacing w:before="40" w:after="40"/>
              <w:rPr>
                <w:rFonts w:cs="Arial"/>
                <w:sz w:val="18"/>
                <w:szCs w:val="24"/>
                <w:lang w:val="x-none"/>
              </w:rPr>
            </w:pPr>
            <w:r w:rsidRPr="00C423D5">
              <w:rPr>
                <w:rFonts w:cs="Arial"/>
                <w:sz w:val="18"/>
                <w:szCs w:val="18"/>
                <w:rtl/>
                <w:lang w:eastAsia="ar"/>
              </w:rPr>
              <w:t xml:space="preserve">يتولى الشخص المسؤول عن التعامل مع الحادث تقييم المخاطر التي يتعرض لها المستجيبون للحادث فيما </w:t>
            </w:r>
            <w:r w:rsidR="005507AD">
              <w:rPr>
                <w:rFonts w:cs="Arial" w:hint="cs"/>
                <w:sz w:val="18"/>
                <w:szCs w:val="18"/>
                <w:rtl/>
                <w:lang w:eastAsia="ar"/>
              </w:rPr>
              <w:t>يخص</w:t>
            </w:r>
            <w:r w:rsidR="005507AD">
              <w:rPr>
                <w:rFonts w:cs="Arial"/>
                <w:sz w:val="18"/>
                <w:szCs w:val="18"/>
                <w:rtl/>
                <w:lang w:eastAsia="ar"/>
              </w:rPr>
              <w:t xml:space="preserve"> </w:t>
            </w:r>
            <w:r w:rsidRPr="00C423D5">
              <w:rPr>
                <w:rFonts w:cs="Arial"/>
                <w:sz w:val="18"/>
                <w:szCs w:val="18"/>
                <w:rtl/>
                <w:lang w:eastAsia="ar"/>
              </w:rPr>
              <w:t>الغرض من أفعالهم والنتائج المحتملة لهذه الأفعال في كل حالة</w:t>
            </w:r>
          </w:p>
        </w:tc>
        <w:tc>
          <w:tcPr>
            <w:tcW w:w="508" w:type="dxa"/>
            <w:tcBorders>
              <w:top w:val="single" w:sz="4" w:space="0" w:color="auto"/>
              <w:bottom w:val="single" w:sz="4" w:space="0" w:color="auto"/>
            </w:tcBorders>
            <w:shd w:val="clear" w:color="auto" w:fill="C6D9F1" w:themeFill="text2" w:themeFillTint="33"/>
            <w:vAlign w:val="center"/>
          </w:tcPr>
          <w:p w14:paraId="6E03387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994D5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82FC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813136">
              <w:rPr>
                <w:rFonts w:cs="Arial"/>
                <w:color w:val="000000"/>
                <w:rtl/>
                <w:lang w:eastAsia="ar"/>
              </w:rPr>
            </w:r>
            <w:r w:rsidR="00813136">
              <w:rPr>
                <w:rFonts w:cs="Arial"/>
                <w:color w:val="000000"/>
                <w:rtl/>
                <w:lang w:eastAsia="ar"/>
              </w:rPr>
              <w:fldChar w:fldCharType="separate"/>
            </w:r>
            <w:r w:rsidRPr="00C423D5">
              <w:rPr>
                <w:rFonts w:cs="Arial"/>
                <w:color w:val="000000"/>
                <w:rtl/>
                <w:lang w:eastAsia="ar"/>
              </w:rPr>
              <w:fldChar w:fldCharType="end"/>
            </w:r>
          </w:p>
        </w:tc>
      </w:tr>
      <w:tr w:rsidR="00047D63" w:rsidRPr="00C423D5" w14:paraId="1959A7B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68EC872"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15</w:t>
            </w:r>
          </w:p>
        </w:tc>
        <w:tc>
          <w:tcPr>
            <w:tcW w:w="7746" w:type="dxa"/>
            <w:gridSpan w:val="3"/>
            <w:tcBorders>
              <w:top w:val="single" w:sz="4" w:space="0" w:color="auto"/>
              <w:bottom w:val="single" w:sz="4" w:space="0" w:color="auto"/>
            </w:tcBorders>
            <w:shd w:val="clear" w:color="auto" w:fill="auto"/>
            <w:vAlign w:val="center"/>
          </w:tcPr>
          <w:p w14:paraId="4EAC86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يجب أن يوفر نظام الاتصالات أسلوبًا موحدًا لمنح الأولوية لإرسال الرسائل الطارئة والإشعارات عن الأخطار الوشيكة وتقديمها على الاتصالات الروتينية وذلك على جميع المستويات في هيكل قيادة الحادث</w:t>
            </w:r>
          </w:p>
        </w:tc>
        <w:tc>
          <w:tcPr>
            <w:tcW w:w="508" w:type="dxa"/>
            <w:tcBorders>
              <w:top w:val="single" w:sz="4" w:space="0" w:color="auto"/>
              <w:bottom w:val="single" w:sz="4" w:space="0" w:color="auto"/>
            </w:tcBorders>
            <w:shd w:val="clear" w:color="auto" w:fill="C6D9F1" w:themeFill="text2" w:themeFillTint="33"/>
            <w:vAlign w:val="center"/>
          </w:tcPr>
          <w:p w14:paraId="4BACA76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9E3A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377A4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676CD1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F84EA3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16</w:t>
            </w:r>
          </w:p>
        </w:tc>
        <w:tc>
          <w:tcPr>
            <w:tcW w:w="7746" w:type="dxa"/>
            <w:gridSpan w:val="3"/>
            <w:tcBorders>
              <w:top w:val="single" w:sz="4" w:space="0" w:color="auto"/>
              <w:bottom w:val="single" w:sz="4" w:space="0" w:color="auto"/>
            </w:tcBorders>
            <w:shd w:val="clear" w:color="auto" w:fill="auto"/>
            <w:vAlign w:val="center"/>
          </w:tcPr>
          <w:p w14:paraId="491ABAD7"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خطة عمل التعامل مع الحوادث: يمكن أن تكون خطة عمل التعامل مع الحوادث على شكلٍ شفهي أو ورقة عمل تكتيكية أو بشكل كتابي أو مزيج ممّا ذُكر سابقًا، وهي تُبيّن الاستراتيجية الشاملة للتعامل مع الحادث والأساليب وإدارة المخاطر وسلامة الأفراد، ويضعها قائد إدارة الحوادث</w:t>
            </w:r>
          </w:p>
        </w:tc>
        <w:tc>
          <w:tcPr>
            <w:tcW w:w="508" w:type="dxa"/>
            <w:tcBorders>
              <w:top w:val="single" w:sz="4" w:space="0" w:color="auto"/>
              <w:bottom w:val="single" w:sz="4" w:space="0" w:color="auto"/>
            </w:tcBorders>
            <w:shd w:val="clear" w:color="auto" w:fill="C6D9F1" w:themeFill="text2" w:themeFillTint="33"/>
            <w:vAlign w:val="center"/>
          </w:tcPr>
          <w:p w14:paraId="217EA90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27C3C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8F107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11DACC10" w14:textId="77777777" w:rsidTr="00C14BAD">
        <w:trPr>
          <w:trHeight w:val="350"/>
        </w:trPr>
        <w:tc>
          <w:tcPr>
            <w:tcW w:w="990" w:type="dxa"/>
            <w:tcBorders>
              <w:top w:val="single" w:sz="4" w:space="0" w:color="auto"/>
              <w:left w:val="single" w:sz="4" w:space="0" w:color="auto"/>
              <w:bottom w:val="single" w:sz="4" w:space="0" w:color="auto"/>
            </w:tcBorders>
            <w:shd w:val="clear" w:color="auto" w:fill="auto"/>
            <w:noWrap/>
            <w:vAlign w:val="center"/>
          </w:tcPr>
          <w:p w14:paraId="56A7BA5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17</w:t>
            </w:r>
          </w:p>
        </w:tc>
        <w:tc>
          <w:tcPr>
            <w:tcW w:w="7746" w:type="dxa"/>
            <w:gridSpan w:val="3"/>
            <w:tcBorders>
              <w:top w:val="single" w:sz="4" w:space="0" w:color="auto"/>
              <w:bottom w:val="single" w:sz="4" w:space="0" w:color="auto"/>
            </w:tcBorders>
            <w:shd w:val="clear" w:color="auto" w:fill="auto"/>
            <w:vAlign w:val="center"/>
          </w:tcPr>
          <w:p w14:paraId="7BA539A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مركز إدارة العمليات: يمكن لمركز إدارة العمليات تيسير طلبات المساعدة المتبادلة، وتقديم المساعدة فيما يتعلق بطلبات التوظيف وغيرها من المسائل الأخرى التي تعنى بها الجهة مثل استدعاء الموظفين وتوظيف الموارد</w:t>
            </w:r>
            <w:bookmarkStart w:id="0" w:name="_GoBack"/>
            <w:bookmarkEnd w:id="0"/>
          </w:p>
        </w:tc>
        <w:tc>
          <w:tcPr>
            <w:tcW w:w="508" w:type="dxa"/>
            <w:tcBorders>
              <w:top w:val="single" w:sz="4" w:space="0" w:color="auto"/>
              <w:bottom w:val="single" w:sz="4" w:space="0" w:color="auto"/>
            </w:tcBorders>
            <w:shd w:val="clear" w:color="auto" w:fill="C6D9F1" w:themeFill="text2" w:themeFillTint="33"/>
            <w:vAlign w:val="center"/>
          </w:tcPr>
          <w:p w14:paraId="0CA2B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153D1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D5F9B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91B59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1D333B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lastRenderedPageBreak/>
              <w:t>18</w:t>
            </w:r>
          </w:p>
        </w:tc>
        <w:tc>
          <w:tcPr>
            <w:tcW w:w="7746" w:type="dxa"/>
            <w:gridSpan w:val="3"/>
            <w:tcBorders>
              <w:top w:val="single" w:sz="4" w:space="0" w:color="auto"/>
              <w:bottom w:val="single" w:sz="4" w:space="0" w:color="auto"/>
            </w:tcBorders>
            <w:shd w:val="clear" w:color="auto" w:fill="auto"/>
            <w:vAlign w:val="center"/>
          </w:tcPr>
          <w:p w14:paraId="6E73CC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توفير متطلبات الدعم لنظام قيادة الحوادث في الموقع، مثل:</w:t>
            </w:r>
          </w:p>
          <w:p w14:paraId="6B7056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4FAA81C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موارد إضافية من مصادر جديدة</w:t>
            </w:r>
          </w:p>
          <w:p w14:paraId="5B41EB7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وحدات الدعم الطارئ اللازمة لدعم الاستجابة للحادث (الحوادث)</w:t>
            </w:r>
          </w:p>
        </w:tc>
        <w:tc>
          <w:tcPr>
            <w:tcW w:w="508" w:type="dxa"/>
            <w:tcBorders>
              <w:top w:val="single" w:sz="4" w:space="0" w:color="auto"/>
              <w:bottom w:val="single" w:sz="4" w:space="0" w:color="auto"/>
            </w:tcBorders>
            <w:shd w:val="clear" w:color="auto" w:fill="C6D9F1" w:themeFill="text2" w:themeFillTint="33"/>
            <w:vAlign w:val="center"/>
          </w:tcPr>
          <w:p w14:paraId="0AF2055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C4032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B8834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E2D68C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CEFDDB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19</w:t>
            </w:r>
          </w:p>
        </w:tc>
        <w:tc>
          <w:tcPr>
            <w:tcW w:w="7746" w:type="dxa"/>
            <w:gridSpan w:val="3"/>
            <w:tcBorders>
              <w:top w:val="single" w:sz="4" w:space="0" w:color="auto"/>
              <w:bottom w:val="single" w:sz="4" w:space="0" w:color="auto"/>
            </w:tcBorders>
            <w:shd w:val="clear" w:color="auto" w:fill="auto"/>
            <w:vAlign w:val="center"/>
          </w:tcPr>
          <w:p w14:paraId="791A4F8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الوقت المتوقع المطلوب للسيطرة على الوضع حيث يؤثر ذلك على المتطلبات اللوجستية لما يلي:</w:t>
            </w:r>
          </w:p>
          <w:p w14:paraId="016922BF" w14:textId="6742E254"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موظفي الإغاثة</w:t>
            </w:r>
          </w:p>
          <w:p w14:paraId="396697E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الغذاء</w:t>
            </w:r>
          </w:p>
          <w:p w14:paraId="2FDD902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المساكن</w:t>
            </w:r>
          </w:p>
          <w:p w14:paraId="61F0A978"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(د) الوقود والإصلاحات</w:t>
            </w:r>
          </w:p>
          <w:p w14:paraId="68A2575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(هـ) التدخل الواسع للجهات المتعددة</w:t>
            </w:r>
          </w:p>
        </w:tc>
        <w:tc>
          <w:tcPr>
            <w:tcW w:w="508" w:type="dxa"/>
            <w:tcBorders>
              <w:top w:val="single" w:sz="4" w:space="0" w:color="auto"/>
              <w:bottom w:val="single" w:sz="4" w:space="0" w:color="auto"/>
            </w:tcBorders>
            <w:shd w:val="clear" w:color="auto" w:fill="C6D9F1" w:themeFill="text2" w:themeFillTint="33"/>
            <w:vAlign w:val="center"/>
          </w:tcPr>
          <w:p w14:paraId="36FE141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550AD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D0608"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35F16A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F1873B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20</w:t>
            </w:r>
          </w:p>
        </w:tc>
        <w:tc>
          <w:tcPr>
            <w:tcW w:w="7746" w:type="dxa"/>
            <w:gridSpan w:val="3"/>
            <w:tcBorders>
              <w:top w:val="single" w:sz="4" w:space="0" w:color="auto"/>
              <w:bottom w:val="single" w:sz="4" w:space="0" w:color="auto"/>
            </w:tcBorders>
            <w:shd w:val="clear" w:color="auto" w:fill="auto"/>
            <w:vAlign w:val="center"/>
          </w:tcPr>
          <w:p w14:paraId="181C889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الإلمام الشامل بقدرات الجهاز أو السلطة المعنية والقيود لاتخاذ القرارات للجهاز أو السلطة المعنية بما في ذلك الأمر بتوزيع الموارد</w:t>
            </w:r>
          </w:p>
        </w:tc>
        <w:tc>
          <w:tcPr>
            <w:tcW w:w="508" w:type="dxa"/>
            <w:tcBorders>
              <w:top w:val="single" w:sz="4" w:space="0" w:color="auto"/>
              <w:bottom w:val="single" w:sz="4" w:space="0" w:color="auto"/>
            </w:tcBorders>
            <w:shd w:val="clear" w:color="auto" w:fill="C6D9F1" w:themeFill="text2" w:themeFillTint="33"/>
            <w:vAlign w:val="center"/>
          </w:tcPr>
          <w:p w14:paraId="19B05FB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E54FA6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D16EBC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AB2F07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1F46F0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21</w:t>
            </w:r>
          </w:p>
        </w:tc>
        <w:tc>
          <w:tcPr>
            <w:tcW w:w="7746" w:type="dxa"/>
            <w:gridSpan w:val="3"/>
            <w:tcBorders>
              <w:top w:val="single" w:sz="4" w:space="0" w:color="auto"/>
              <w:bottom w:val="single" w:sz="4" w:space="0" w:color="auto"/>
            </w:tcBorders>
            <w:shd w:val="clear" w:color="auto" w:fill="auto"/>
            <w:vAlign w:val="center"/>
          </w:tcPr>
          <w:p w14:paraId="7953B35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تتولى قيادة المنطقة تحديد الأولويات الخاصة بالحوادث وتخصيص الموارد الأساسية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1B13BDA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EF67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234FA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AB100B"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CD4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22</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45DD"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كبار موظفي الإدارات المتأثرة بالتوقف عن استخدام 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A68F3F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6546C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58B1D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D138B4F"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63C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23</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7340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التواصل مع هيئة المياه المحلية، حيث قد يكون سبب التلوث هو إمدادات المياه الواردة الأساسية، وبالتالي قد تكون هناك احتمالية للالتزام بعدم تلويث شبكة المياه العامة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4340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1A50B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975E9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BCE9DD3"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3D19"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24</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DB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أخذ عينات عند الضرورة لتحديد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E45A06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28ADF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A7EA2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6C1E913D"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A8AE"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25</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8ECF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عزل المنطقة المتأثرة عن الإمداد الرئيسي لمنع ازدياد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34753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55E10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A716B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796CDA8"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C49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26</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48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بناءً على طبيعة التلوث، قد يصبح سببه واضحًا أو يسهل تحديد موقعه. وإن لم يكن ذلك ممكنًا، يجب القيام بتحقيق منهجي حول أنظمة الإمداد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B94266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301B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B55BFD"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106927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F5C6A3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763A51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في حال تحديد أسباب التلوث، يجب عزل مصدر التلوث وتنفيذ الأعمال الضرورية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4C00B9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8868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184B1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A45DEE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42EC86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1CA44E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الطاقم الطبي بطبيعة التلوث وانتظار تلقي المشورة حول التأثير السريري قبل استعادة إمداد المنطقة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7C2EC1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E8572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64EF8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27BE3AEF"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584AA4B"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D85D47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التنظيف بالمياه لجميع أنظمة الأنابيب (الصنابير، مياه تنظيف المراحيض، أحواض المرحاض..إلخ) إلى أن يُظهر التحليل القادم عدم وجود أثر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233BAA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8D97E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A3C7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C6328C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7E7A1E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30</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1C3B659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عندما تتم استعادة جودة المياه ويتم تأكيد ذلك من الطاقم الطبي أو الميكروبيولوجي، يمكن عندها السماح باستئناف الاستخدام الاعتيادي</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DB58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CAE28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6164C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4676FA9"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3209DB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31</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254EF7C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مراجعة الإجراءات التشغيلية للحادث وتعديلها في حال الضرورة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18565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5943DF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19EB5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EDF924C"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F33593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32</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FF1B2D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تسجيل الملاحظات المتعلقة بتاريخ ووقت وقوع الحادث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6706F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82632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21D47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0954AA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1FC3DA1"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33</w:t>
            </w:r>
          </w:p>
        </w:tc>
        <w:tc>
          <w:tcPr>
            <w:tcW w:w="7746" w:type="dxa"/>
            <w:gridSpan w:val="3"/>
            <w:tcBorders>
              <w:top w:val="single" w:sz="4" w:space="0" w:color="auto"/>
              <w:bottom w:val="single" w:sz="4" w:space="0" w:color="auto"/>
            </w:tcBorders>
            <w:shd w:val="clear" w:color="auto" w:fill="auto"/>
            <w:vAlign w:val="center"/>
          </w:tcPr>
          <w:p w14:paraId="74D54963" w14:textId="77777777" w:rsidR="00047D63" w:rsidRPr="00930265" w:rsidRDefault="00047D63" w:rsidP="00C14BAD">
            <w:pPr>
              <w:pStyle w:val="ListParagraph"/>
              <w:numPr>
                <w:ilvl w:val="0"/>
                <w:numId w:val="12"/>
              </w:numPr>
              <w:bidi/>
              <w:spacing w:before="40" w:after="40"/>
              <w:rPr>
                <w:rFonts w:cs="Arial"/>
                <w:sz w:val="18"/>
                <w:szCs w:val="24"/>
              </w:rPr>
            </w:pPr>
            <w:r w:rsidRPr="00930265">
              <w:rPr>
                <w:rFonts w:cs="Arial"/>
                <w:sz w:val="18"/>
                <w:szCs w:val="18"/>
                <w:rtl/>
                <w:lang w:eastAsia="ar"/>
              </w:rPr>
              <w:t>عرض خطط إخلاء طوابق المبنى بشكل واضح في جميع الطوابق</w:t>
            </w:r>
          </w:p>
          <w:p w14:paraId="356D5D91"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مخطط شامل للموقع، بما في ذلك تفاصيل الوصول إلى النقطة الشمالية وأرقام الطوارئ</w:t>
            </w:r>
          </w:p>
          <w:p w14:paraId="3FAB4E3B"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النسخة الحالية من البيان السنوي حول السلامة من الحرائق</w:t>
            </w:r>
          </w:p>
          <w:p w14:paraId="29E4FD0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إمكانية الاطّلاع بسهولة على سجلات الصيانة الخاصة بالتدابير الأساسية للسلامة من الحرائق</w:t>
            </w:r>
          </w:p>
          <w:p w14:paraId="50CB0BD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89145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30243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E9274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813136">
              <w:rPr>
                <w:rFonts w:cs="Arial"/>
                <w:color w:val="000000"/>
                <w:sz w:val="16"/>
                <w:szCs w:val="16"/>
                <w:rtl/>
                <w:lang w:eastAsia="ar"/>
              </w:rPr>
            </w:r>
            <w:r w:rsidR="00813136">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92604B9" w14:textId="77777777" w:rsidTr="00C14BAD">
        <w:trPr>
          <w:trHeight w:val="105"/>
        </w:trPr>
        <w:tc>
          <w:tcPr>
            <w:tcW w:w="990" w:type="dxa"/>
            <w:tcBorders>
              <w:top w:val="single" w:sz="4" w:space="0" w:color="auto"/>
              <w:left w:val="single" w:sz="4" w:space="0" w:color="auto"/>
              <w:bottom w:val="single" w:sz="4" w:space="0" w:color="auto"/>
            </w:tcBorders>
            <w:shd w:val="clear" w:color="auto" w:fill="264B5A"/>
            <w:noWrap/>
            <w:vAlign w:val="center"/>
          </w:tcPr>
          <w:p w14:paraId="0A5CC8ED"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الرقم</w:t>
            </w:r>
          </w:p>
        </w:tc>
        <w:tc>
          <w:tcPr>
            <w:tcW w:w="4072" w:type="dxa"/>
            <w:tcBorders>
              <w:top w:val="single" w:sz="4" w:space="0" w:color="auto"/>
              <w:bottom w:val="single" w:sz="4" w:space="0" w:color="auto"/>
            </w:tcBorders>
            <w:shd w:val="clear" w:color="auto" w:fill="264B5A"/>
            <w:vAlign w:val="center"/>
          </w:tcPr>
          <w:p w14:paraId="2494D5AF"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CD66D24"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القرار</w:t>
            </w:r>
          </w:p>
        </w:tc>
      </w:tr>
      <w:tr w:rsidR="00047D63" w:rsidRPr="00C423D5" w14:paraId="0BFC897E"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529016C8"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CC6CDDF"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1D4CE55" w14:textId="77777777" w:rsidR="00047D63" w:rsidRPr="00595047" w:rsidRDefault="00047D63" w:rsidP="00C14BAD">
            <w:pPr>
              <w:bidi/>
              <w:spacing w:before="40" w:after="40"/>
              <w:jc w:val="left"/>
              <w:rPr>
                <w:rFonts w:cs="Arial"/>
              </w:rPr>
            </w:pPr>
          </w:p>
        </w:tc>
      </w:tr>
      <w:tr w:rsidR="00047D63" w:rsidRPr="00C423D5" w14:paraId="20BC368F"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72336EE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3A33773B"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371D318" w14:textId="77777777" w:rsidR="00047D63" w:rsidRPr="00595047" w:rsidRDefault="00047D63" w:rsidP="00C14BAD">
            <w:pPr>
              <w:bidi/>
              <w:spacing w:before="40" w:after="40"/>
              <w:jc w:val="left"/>
              <w:rPr>
                <w:rFonts w:cs="Arial"/>
              </w:rPr>
            </w:pPr>
          </w:p>
        </w:tc>
      </w:tr>
      <w:tr w:rsidR="00047D63" w:rsidRPr="00C423D5" w14:paraId="6EB34951"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85C292"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98644D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0BB1DD" w14:textId="77777777" w:rsidR="00047D63" w:rsidRPr="00595047" w:rsidRDefault="00047D63" w:rsidP="00C14BAD">
            <w:pPr>
              <w:bidi/>
              <w:spacing w:before="40" w:after="40"/>
              <w:jc w:val="left"/>
              <w:rPr>
                <w:rFonts w:cs="Arial"/>
              </w:rPr>
            </w:pPr>
          </w:p>
        </w:tc>
      </w:tr>
      <w:tr w:rsidR="00047D63" w:rsidRPr="00C423D5" w14:paraId="253E6E37"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10A70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6CE59D0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FC5E066" w14:textId="77777777" w:rsidR="00047D63" w:rsidRPr="00595047" w:rsidRDefault="00047D63" w:rsidP="00C14BAD">
            <w:pPr>
              <w:bidi/>
              <w:spacing w:before="40" w:after="40"/>
              <w:jc w:val="left"/>
              <w:rPr>
                <w:rFonts w:cs="Arial"/>
              </w:rPr>
            </w:pPr>
          </w:p>
        </w:tc>
      </w:tr>
      <w:tr w:rsidR="00047D63" w:rsidRPr="00C423D5" w14:paraId="77213A1B" w14:textId="77777777" w:rsidTr="00C14BAD">
        <w:trPr>
          <w:trHeight w:val="10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7008E" w14:textId="77777777" w:rsidR="00047D63" w:rsidRPr="00595047" w:rsidRDefault="00047D63" w:rsidP="00C14BAD">
            <w:pPr>
              <w:bidi/>
              <w:spacing w:before="40" w:after="40"/>
              <w:jc w:val="left"/>
              <w:rPr>
                <w:rFonts w:cs="Arial"/>
              </w:rPr>
            </w:pPr>
            <w:r w:rsidRPr="00595047">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D39D9" w14:textId="77777777" w:rsidR="00047D63" w:rsidRPr="00595047" w:rsidRDefault="00047D63" w:rsidP="00C14BAD">
            <w:pPr>
              <w:bidi/>
              <w:spacing w:before="40" w:after="40"/>
              <w:jc w:val="left"/>
              <w:rPr>
                <w:rFonts w:cs="Arial"/>
              </w:rPr>
            </w:pPr>
            <w:r w:rsidRPr="00595047">
              <w:rPr>
                <w:rFonts w:cs="Arial"/>
                <w:rtl/>
                <w:lang w:eastAsia="ar"/>
              </w:rPr>
              <w:t>اسم المراجع / التوقيع والتاريخ:</w:t>
            </w:r>
          </w:p>
        </w:tc>
      </w:tr>
      <w:tr w:rsidR="00047D63" w:rsidRPr="00C423D5" w14:paraId="63E495D9" w14:textId="77777777" w:rsidTr="00C14BAD">
        <w:trPr>
          <w:trHeight w:val="479"/>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F1CD0" w14:textId="77777777" w:rsidR="00047D63" w:rsidRPr="00595047" w:rsidRDefault="00047D63" w:rsidP="00C14BA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12CE8" w14:textId="77777777" w:rsidR="00047D63" w:rsidRPr="00595047" w:rsidRDefault="00047D63" w:rsidP="00C14BAD">
            <w:pPr>
              <w:bidi/>
              <w:spacing w:before="40" w:after="40"/>
              <w:jc w:val="left"/>
              <w:rPr>
                <w:rFonts w:cs="Arial"/>
              </w:rPr>
            </w:pPr>
          </w:p>
        </w:tc>
      </w:tr>
    </w:tbl>
    <w:p w14:paraId="5355904E" w14:textId="77777777" w:rsidR="00047D63" w:rsidRDefault="00047D63" w:rsidP="00047D63">
      <w:pPr>
        <w:bidi/>
      </w:pPr>
    </w:p>
    <w:p w14:paraId="40FA6124" w14:textId="77777777" w:rsidR="003C6B98" w:rsidRPr="003C2584" w:rsidRDefault="003C6B98" w:rsidP="003C2584">
      <w:pPr>
        <w:bidi/>
      </w:pPr>
    </w:p>
    <w:sectPr w:rsidR="003C6B98" w:rsidRPr="003C2584" w:rsidSect="00832676">
      <w:headerReference w:type="default" r:id="rId11"/>
      <w:footerReference w:type="default" r:id="rId12"/>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38DE1" w14:textId="77777777" w:rsidR="00813136" w:rsidRDefault="00813136">
      <w:r>
        <w:separator/>
      </w:r>
    </w:p>
    <w:p w14:paraId="25B6B932" w14:textId="77777777" w:rsidR="00813136" w:rsidRDefault="00813136"/>
  </w:endnote>
  <w:endnote w:type="continuationSeparator" w:id="0">
    <w:p w14:paraId="7E84E871" w14:textId="77777777" w:rsidR="00813136" w:rsidRDefault="00813136">
      <w:r>
        <w:continuationSeparator/>
      </w:r>
    </w:p>
    <w:p w14:paraId="4BD62186" w14:textId="77777777" w:rsidR="00813136" w:rsidRDefault="0081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692688AF" w14:textId="04DF477F" w:rsidR="00EB2A78" w:rsidRPr="006C1ABD" w:rsidRDefault="00EB2A78" w:rsidP="00181758">
    <w:pPr>
      <w:spacing w:after="120"/>
      <w:rPr>
        <w:rFonts w:eastAsia="Arial" w:cs="Arial"/>
        <w:color w:val="7A8D95"/>
        <w:sz w:val="16"/>
        <w:szCs w:val="16"/>
      </w:rPr>
    </w:pPr>
    <w:r w:rsidRPr="006C1ABD">
      <w:rPr>
        <w:rFonts w:eastAsia="Arial" w:cs="Arial"/>
        <w:noProof/>
        <w:color w:val="7A8D95"/>
        <w:sz w:val="16"/>
        <w:szCs w:val="16"/>
        <w:lang w:eastAsia="en-US"/>
      </w:rPr>
      <mc:AlternateContent>
        <mc:Choice Requires="wps">
          <w:drawing>
            <wp:anchor distT="0" distB="0" distL="114300" distR="114300" simplePos="0" relativeHeight="251660288" behindDoc="0" locked="0" layoutInCell="1" allowOverlap="1" wp14:anchorId="6A0BA26C" wp14:editId="5B62E625">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BE9F63" id="Straight Connector 5"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Pr>
        <w:rFonts w:eastAsia="Arial" w:cs="Arial"/>
        <w:color w:val="7A8D95"/>
        <w:sz w:val="16"/>
        <w:szCs w:val="16"/>
      </w:rPr>
      <w:t xml:space="preserve">  </w:t>
    </w: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2B4D5BD3D341442EB10B511CCCBF7B2D"/>
        </w:placeholder>
        <w:dataBinding w:prefixMappings="xmlns:ns0='http://purl.org/dc/elements/1.1/' xmlns:ns1='http://schemas.openxmlformats.org/package/2006/metadata/core-properties' " w:xpath="/ns1:coreProperties[1]/ns0:subject[1]" w:storeItemID="{6C3C8BC8-F283-45AE-878A-BAB7291924A1}"/>
        <w:text/>
      </w:sdtPr>
      <w:sdtEndPr/>
      <w:sdtContent>
        <w:r w:rsidR="00181758">
          <w:rPr>
            <w:rFonts w:eastAsia="Arial" w:cs="Arial"/>
            <w:color w:val="7A8D95"/>
            <w:sz w:val="16"/>
            <w:szCs w:val="16"/>
          </w:rPr>
          <w:t>EOM-ZO0-TP-000014</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531A1F33544A472E9A06A3C93275A3E8"/>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9C2A1923080C400BBF654627786943B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06568DB3" w14:textId="5E72F361" w:rsidR="00EB2A78" w:rsidRPr="006C1ABD" w:rsidRDefault="00EB2A78" w:rsidP="00EB2A7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181758">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0172932E" w:rsidR="009210BF" w:rsidRPr="00EB2A78" w:rsidRDefault="00EB2A78" w:rsidP="00EB2A78">
    <w:pPr>
      <w:spacing w:after="240"/>
      <w:ind w:left="450" w:right="9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5F37" w14:textId="77777777" w:rsidR="00813136" w:rsidRDefault="00813136">
      <w:r>
        <w:separator/>
      </w:r>
    </w:p>
    <w:p w14:paraId="233B7FEC" w14:textId="77777777" w:rsidR="00813136" w:rsidRDefault="00813136"/>
  </w:footnote>
  <w:footnote w:type="continuationSeparator" w:id="0">
    <w:p w14:paraId="78DDA701" w14:textId="77777777" w:rsidR="00813136" w:rsidRDefault="00813136">
      <w:r>
        <w:continuationSeparator/>
      </w:r>
    </w:p>
    <w:p w14:paraId="6A5CD8E8" w14:textId="77777777" w:rsidR="00813136" w:rsidRDefault="008131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F0117" w14:paraId="55B15A60" w14:textId="77777777" w:rsidTr="005F0117">
      <w:tc>
        <w:tcPr>
          <w:tcW w:w="6845" w:type="dxa"/>
          <w:vAlign w:val="center"/>
        </w:tcPr>
        <w:p w14:paraId="361EC67C" w14:textId="0403C851" w:rsidR="005F0117" w:rsidRPr="006A25F8" w:rsidRDefault="00EB2A78" w:rsidP="00EB2A78">
          <w:pPr>
            <w:pStyle w:val="CPDocTitle"/>
            <w:bidi/>
            <w:rPr>
              <w:kern w:val="32"/>
              <w:sz w:val="24"/>
              <w:szCs w:val="24"/>
              <w:lang w:val="en-GB"/>
            </w:rPr>
          </w:pPr>
          <w:r>
            <w:rPr>
              <w:rFonts w:hint="cs"/>
              <w:kern w:val="32"/>
              <w:sz w:val="24"/>
              <w:szCs w:val="24"/>
              <w:rtl/>
              <w:lang w:eastAsia="ar"/>
            </w:rPr>
            <w:t xml:space="preserve">            </w:t>
          </w:r>
          <w:r w:rsidR="005F0117" w:rsidRPr="00F077D1">
            <w:rPr>
              <w:kern w:val="32"/>
              <w:sz w:val="24"/>
              <w:szCs w:val="24"/>
              <w:rtl/>
              <w:lang w:eastAsia="ar"/>
            </w:rPr>
            <w:t>قائمة تدقيق إجراءات الاستجابة ل</w:t>
          </w:r>
          <w:r w:rsidR="009E3019">
            <w:rPr>
              <w:rFonts w:hint="cs"/>
              <w:kern w:val="32"/>
              <w:sz w:val="24"/>
              <w:szCs w:val="24"/>
              <w:rtl/>
              <w:lang w:eastAsia="ar"/>
            </w:rPr>
            <w:t>حالات ا</w:t>
          </w:r>
          <w:r w:rsidR="009E3019">
            <w:rPr>
              <w:kern w:val="32"/>
              <w:sz w:val="24"/>
              <w:szCs w:val="24"/>
              <w:rtl/>
              <w:lang w:eastAsia="ar"/>
            </w:rPr>
            <w:t>لطوارئ</w:t>
          </w:r>
          <w:r w:rsidR="009E3019">
            <w:rPr>
              <w:rFonts w:hint="cs"/>
              <w:kern w:val="32"/>
              <w:sz w:val="24"/>
              <w:szCs w:val="24"/>
              <w:rtl/>
              <w:lang w:eastAsia="ar"/>
            </w:rPr>
            <w:t xml:space="preserve"> ل</w:t>
          </w:r>
          <w:r w:rsidR="009E3019">
            <w:rPr>
              <w:kern w:val="32"/>
              <w:sz w:val="24"/>
              <w:szCs w:val="24"/>
              <w:rtl/>
              <w:lang w:eastAsia="ar"/>
            </w:rPr>
            <w:t>لأنظمة الميكانيكية</w:t>
          </w:r>
          <w:r w:rsidR="009E3019">
            <w:rPr>
              <w:rFonts w:hint="cs"/>
              <w:kern w:val="32"/>
              <w:sz w:val="24"/>
              <w:szCs w:val="24"/>
              <w:rtl/>
              <w:lang w:eastAsia="ar"/>
            </w:rPr>
            <w:t xml:space="preserve"> في</w:t>
          </w:r>
          <w:r w:rsidR="005F0117" w:rsidRPr="00F077D1">
            <w:rPr>
              <w:kern w:val="32"/>
              <w:sz w:val="24"/>
              <w:szCs w:val="24"/>
              <w:rtl/>
              <w:lang w:eastAsia="ar"/>
            </w:rPr>
            <w:t xml:space="preserve"> المكاتب</w:t>
          </w:r>
        </w:p>
      </w:tc>
    </w:tr>
  </w:tbl>
  <w:p w14:paraId="0FE4F66F" w14:textId="78B47729" w:rsidR="009210BF" w:rsidRPr="00AC1B11" w:rsidRDefault="00216AC0" w:rsidP="00AC1B11">
    <w:pPr>
      <w:pStyle w:val="Header"/>
      <w:bidi/>
    </w:pPr>
    <w:r>
      <w:rPr>
        <w:noProof/>
        <w:lang w:eastAsia="en-US"/>
      </w:rPr>
      <w:drawing>
        <wp:anchor distT="0" distB="0" distL="114300" distR="114300" simplePos="0" relativeHeight="251658240" behindDoc="0" locked="0" layoutInCell="1" allowOverlap="1" wp14:anchorId="76DFF8DA" wp14:editId="23BE0E65">
          <wp:simplePos x="0" y="0"/>
          <wp:positionH relativeFrom="page">
            <wp:posOffset>67901</wp:posOffset>
          </wp:positionH>
          <wp:positionV relativeFrom="paragraph">
            <wp:posOffset>-630373</wp:posOffset>
          </wp:positionV>
          <wp:extent cx="1290119" cy="564661"/>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595" cy="565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47D63"/>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1BB"/>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1758"/>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52"/>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6AC0"/>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8793E"/>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0D6C"/>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584"/>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07AD"/>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0117"/>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07AC"/>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F17"/>
    <w:rsid w:val="006E7C7C"/>
    <w:rsid w:val="006F0DCD"/>
    <w:rsid w:val="006F1207"/>
    <w:rsid w:val="006F168C"/>
    <w:rsid w:val="006F22DA"/>
    <w:rsid w:val="006F3754"/>
    <w:rsid w:val="006F4082"/>
    <w:rsid w:val="006F4250"/>
    <w:rsid w:val="006F44CA"/>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136"/>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019"/>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87DD1"/>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BCE"/>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37DFD"/>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512"/>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1711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2A78"/>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EF7627"/>
    <w:rsid w:val="00F003F8"/>
    <w:rsid w:val="00F00AFC"/>
    <w:rsid w:val="00F016AE"/>
    <w:rsid w:val="00F02777"/>
    <w:rsid w:val="00F02A2B"/>
    <w:rsid w:val="00F03C0A"/>
    <w:rsid w:val="00F049C7"/>
    <w:rsid w:val="00F06A87"/>
    <w:rsid w:val="00F06BF9"/>
    <w:rsid w:val="00F06F50"/>
    <w:rsid w:val="00F074E2"/>
    <w:rsid w:val="00F077D1"/>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4D5BD3D341442EB10B511CCCBF7B2D"/>
        <w:category>
          <w:name w:val="General"/>
          <w:gallery w:val="placeholder"/>
        </w:category>
        <w:types>
          <w:type w:val="bbPlcHdr"/>
        </w:types>
        <w:behaviors>
          <w:behavior w:val="content"/>
        </w:behaviors>
        <w:guid w:val="{D1B2831A-7E07-42D7-A401-9F520036AEEB}"/>
      </w:docPartPr>
      <w:docPartBody>
        <w:p w:rsidR="00661FEF" w:rsidRDefault="00CA60F0" w:rsidP="00CA60F0">
          <w:pPr>
            <w:pStyle w:val="2B4D5BD3D341442EB10B511CCCBF7B2D"/>
          </w:pPr>
          <w:r w:rsidRPr="00D16477">
            <w:rPr>
              <w:rStyle w:val="PlaceholderText"/>
            </w:rPr>
            <w:t>[Subject]</w:t>
          </w:r>
        </w:p>
      </w:docPartBody>
    </w:docPart>
    <w:docPart>
      <w:docPartPr>
        <w:name w:val="531A1F33544A472E9A06A3C93275A3E8"/>
        <w:category>
          <w:name w:val="General"/>
          <w:gallery w:val="placeholder"/>
        </w:category>
        <w:types>
          <w:type w:val="bbPlcHdr"/>
        </w:types>
        <w:behaviors>
          <w:behavior w:val="content"/>
        </w:behaviors>
        <w:guid w:val="{D9268738-0577-466F-B9AB-8FA0C7744B1D}"/>
      </w:docPartPr>
      <w:docPartBody>
        <w:p w:rsidR="00661FEF" w:rsidRDefault="00CA60F0" w:rsidP="00CA60F0">
          <w:pPr>
            <w:pStyle w:val="531A1F33544A472E9A06A3C93275A3E8"/>
          </w:pPr>
          <w:r w:rsidRPr="00D16477">
            <w:rPr>
              <w:rStyle w:val="PlaceholderText"/>
            </w:rPr>
            <w:t>[Status]</w:t>
          </w:r>
        </w:p>
      </w:docPartBody>
    </w:docPart>
    <w:docPart>
      <w:docPartPr>
        <w:name w:val="9C2A1923080C400BBF654627786943B1"/>
        <w:category>
          <w:name w:val="General"/>
          <w:gallery w:val="placeholder"/>
        </w:category>
        <w:types>
          <w:type w:val="bbPlcHdr"/>
        </w:types>
        <w:behaviors>
          <w:behavior w:val="content"/>
        </w:behaviors>
        <w:guid w:val="{DCC8C113-A315-43E6-AFF0-D87886C0051F}"/>
      </w:docPartPr>
      <w:docPartBody>
        <w:p w:rsidR="00661FEF" w:rsidRDefault="00CA60F0" w:rsidP="00CA60F0">
          <w:pPr>
            <w:pStyle w:val="9C2A1923080C400BBF654627786943B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F0"/>
    <w:rsid w:val="00443466"/>
    <w:rsid w:val="00661FEF"/>
    <w:rsid w:val="00CA60F0"/>
    <w:rsid w:val="00D01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A60F0"/>
    <w:rPr>
      <w:color w:val="808080"/>
    </w:rPr>
  </w:style>
  <w:style w:type="paragraph" w:customStyle="1" w:styleId="2B4D5BD3D341442EB10B511CCCBF7B2D">
    <w:name w:val="2B4D5BD3D341442EB10B511CCCBF7B2D"/>
    <w:rsid w:val="00CA60F0"/>
    <w:pPr>
      <w:bidi/>
    </w:pPr>
  </w:style>
  <w:style w:type="paragraph" w:customStyle="1" w:styleId="531A1F33544A472E9A06A3C93275A3E8">
    <w:name w:val="531A1F33544A472E9A06A3C93275A3E8"/>
    <w:rsid w:val="00CA60F0"/>
    <w:pPr>
      <w:bidi/>
    </w:pPr>
  </w:style>
  <w:style w:type="paragraph" w:customStyle="1" w:styleId="9C2A1923080C400BBF654627786943B1">
    <w:name w:val="9C2A1923080C400BBF654627786943B1"/>
    <w:rsid w:val="00CA60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0F21808-3250-4EB1-BB6C-81B2E319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C22A6-E5AD-4F04-9B58-F559E4C4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39</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7826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EOM-ZO0-TP-000014</dc:subject>
  <dc:creator>Rivamonte, Leonnito (RMP)</dc:creator>
  <cp:keywords>ᅟ</cp:keywords>
  <cp:lastModifiedBy>الاء الزهراني Alaa Alzahrani</cp:lastModifiedBy>
  <cp:revision>64</cp:revision>
  <cp:lastPrinted>2017-10-17T10:11:00Z</cp:lastPrinted>
  <dcterms:created xsi:type="dcterms:W3CDTF">2019-12-16T06:44:00Z</dcterms:created>
  <dcterms:modified xsi:type="dcterms:W3CDTF">2022-01-30T14:50:00Z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